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Maria Maler, geboren am 30.06.1987 in Hamburg, trat am 06.09.2018 in unser Unternehmen ein und war bis zum 28.06.2023 als Fotografin bei uns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Frau Maler verantwortete als Fotografin in unserem Unternehmen die folgenden Tätigkeiten: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Organisation von Drehorten, Terminen und Mitarbeitern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Einhaltung des Budgets und des Zeitplans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Auswahl und Führung von Schauspielern und Crewmitgliedern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Vorbereitung und Betreuung von Fotoproduktionen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Anfertigung von Porträts, Gruppenaufnahmen und Reportagen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Kreativer Input in Bezug auf Kameraarbeit und Lichtgestaltung</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Konzeption und Gestaltung von visuellen Marketingmaterialien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Postproduktion des Materials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Frau Maler verfügt über ein gutes, weit reichendes Fachwissen, welches sie in der Praxis stets erfolgreich einsetzte. In allen ihr bekannten Zusammenhängen konnte sich Frau Maler auf ihre Urteilsfähigkeit verlassen. Mit ihrer Belastbarkeit waren wir zufrieden. Sie arbeitete sehr gründlich und zügig. Frau Maler dachte bei der Arbeitsvorbereitung stets gut mit und erledigte die Aufgaben mit großer Effizienz und Systematik. Ihre Arbeitsqualität war gut. Frau Maler war eine einsatzfreudige Mitarbeiterin, die stets Einsatzwillen zeigte. Frau Maler erfüllte die ihr übertragenen Aufgaben zu unserer vollen Zufriedenheit. Dank ihrer hohen Flexibilität beherrschte Frau Maler auch komplexe Aufgabenstellungen par excellence.</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Das Verhalten gegenüber Vorgesetzten, Kollegen und Mitarbeitern war stets spannungsfrei. Ihr Verhalten gegenüber unseren Kunden und Geschäftspartnern war einwandfrei. Frau Maler wurde wegen ihrer kooperativen Art geschätzt.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Das Arbeitsverhältnis endet im besten beiderseitigen und freundschaftlichen Einvernehmen am 28.06.2023. Wir waren zufrieden und danken. Wir wünschen Frau Maler alles Gute.</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28.06.2023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